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959"/>
        <w:tblW w:w="17670" w:type="dxa"/>
        <w:tblCellSpacing w:w="15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6830"/>
      </w:tblGrid>
      <w:tr w:rsidR="004B2A05" w:rsidRPr="005F5C1C" w14:paraId="55F9765E" w14:textId="77777777" w:rsidTr="004B2A05">
        <w:trPr>
          <w:trHeight w:val="15"/>
          <w:tblCellSpacing w:w="15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</w:tcPr>
          <w:p w14:paraId="41FE54A7" w14:textId="77777777" w:rsidR="004B2A05" w:rsidRPr="005F5C1C" w:rsidRDefault="004B2A05" w:rsidP="004B2A0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678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</w:tcPr>
          <w:p w14:paraId="55025811" w14:textId="5D076D62" w:rsidR="004B2A05" w:rsidRPr="004B2A05" w:rsidRDefault="00575406" w:rsidP="004B2A05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Finding </w:t>
            </w:r>
            <w:r w:rsidR="004B2A05" w:rsidRPr="004B2A05">
              <w:rPr>
                <w:rFonts w:eastAsia="Times New Roman" w:cs="Times New Roman"/>
                <w:sz w:val="28"/>
                <w:szCs w:val="28"/>
              </w:rPr>
              <w:t>Free or Low</w:t>
            </w:r>
            <w:r w:rsidR="006C4694">
              <w:rPr>
                <w:rFonts w:eastAsia="Times New Roman" w:cs="Times New Roman"/>
                <w:sz w:val="28"/>
                <w:szCs w:val="28"/>
              </w:rPr>
              <w:t>-</w:t>
            </w:r>
            <w:r w:rsidR="004B2A05" w:rsidRPr="004B2A05">
              <w:rPr>
                <w:rFonts w:eastAsia="Times New Roman" w:cs="Times New Roman"/>
                <w:sz w:val="28"/>
                <w:szCs w:val="28"/>
              </w:rPr>
              <w:t xml:space="preserve">Cost Business Coaching for Native </w:t>
            </w:r>
            <w:r w:rsidR="001111CB">
              <w:rPr>
                <w:rFonts w:eastAsia="Times New Roman" w:cs="Times New Roman"/>
                <w:sz w:val="28"/>
                <w:szCs w:val="28"/>
              </w:rPr>
              <w:t xml:space="preserve">Entrepreneurs </w:t>
            </w:r>
          </w:p>
        </w:tc>
      </w:tr>
    </w:tbl>
    <w:p w14:paraId="5E3EC718" w14:textId="77777777" w:rsidR="005F5C1C" w:rsidRPr="005D35B9" w:rsidRDefault="005F5C1C" w:rsidP="005D35B9">
      <w:pPr>
        <w:pStyle w:val="NoSpacing"/>
      </w:pPr>
      <w:r w:rsidRPr="004B2A05">
        <w:rPr>
          <w:bdr w:val="none" w:sz="0" w:space="0" w:color="auto" w:frame="1"/>
        </w:rPr>
        <w:t> </w:t>
      </w:r>
    </w:p>
    <w:p w14:paraId="2968C07B" w14:textId="733DCF91" w:rsidR="004B2A05" w:rsidRDefault="005F5C1C" w:rsidP="005F5C1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 w:rsidRP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>The financial coachin</w:t>
      </w:r>
      <w:r w:rsid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>g ONAC currently offer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>s</w:t>
      </w:r>
      <w:r w:rsid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is</w:t>
      </w:r>
      <w:r w:rsidR="005D35B9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personal financial management coaching </w:t>
      </w:r>
      <w:r w:rsidR="0081525C" w:rsidRPr="00575406">
        <w:rPr>
          <w:rFonts w:eastAsia="Times New Roman" w:cs="Times New Roman"/>
          <w:b/>
          <w:color w:val="000000"/>
          <w:szCs w:val="24"/>
          <w:bdr w:val="none" w:sz="0" w:space="0" w:color="auto" w:frame="1"/>
        </w:rPr>
        <w:t>only</w:t>
      </w:r>
      <w:r w:rsidR="005D35B9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; </w:t>
      </w:r>
      <w:r w:rsidR="00020177">
        <w:rPr>
          <w:rFonts w:eastAsia="Times New Roman" w:cs="Times New Roman"/>
          <w:color w:val="000000"/>
          <w:szCs w:val="24"/>
          <w:bdr w:val="none" w:sz="0" w:space="0" w:color="auto" w:frame="1"/>
        </w:rPr>
        <w:t>ONAC’s program targets</w:t>
      </w:r>
      <w:r w:rsidRP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="004125A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money management and </w:t>
      </w:r>
      <w:r w:rsidRP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budgeting, credit building and repair, and homeownership. 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Two of those topics relate to business </w:t>
      </w:r>
      <w:r w:rsidR="004125AB">
        <w:rPr>
          <w:rFonts w:eastAsia="Times New Roman" w:cs="Times New Roman"/>
          <w:color w:val="000000"/>
          <w:szCs w:val="24"/>
          <w:bdr w:val="none" w:sz="0" w:space="0" w:color="auto" w:frame="1"/>
        </w:rPr>
        <w:t>also but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are not business specific</w:t>
      </w:r>
      <w:r w:rsidR="00575406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.  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>ONAC does</w:t>
      </w:r>
      <w:r w:rsidR="00575406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not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provide coaching for preparing business plans</w:t>
      </w:r>
      <w:r w:rsidR="005D35B9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, 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>business development strategies</w:t>
      </w:r>
      <w:r w:rsidR="005D35B9">
        <w:rPr>
          <w:rFonts w:eastAsia="Times New Roman" w:cs="Times New Roman"/>
          <w:color w:val="000000"/>
          <w:szCs w:val="24"/>
          <w:bdr w:val="none" w:sz="0" w:space="0" w:color="auto" w:frame="1"/>
        </w:rPr>
        <w:t>,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or </w:t>
      </w:r>
      <w:r w:rsidR="005D35B9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business 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financing (such as comparing </w:t>
      </w:r>
      <w:r w:rsidR="004125A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the 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costs </w:t>
      </w:r>
      <w:r w:rsidR="004125AB">
        <w:rPr>
          <w:rFonts w:eastAsia="Times New Roman" w:cs="Times New Roman"/>
          <w:color w:val="000000"/>
          <w:szCs w:val="24"/>
          <w:bdr w:val="none" w:sz="0" w:space="0" w:color="auto" w:frame="1"/>
        </w:rPr>
        <w:t>to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benefit</w:t>
      </w:r>
      <w:r w:rsidR="004125A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ratio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of various business loan options). </w:t>
      </w:r>
    </w:p>
    <w:p w14:paraId="32AD0394" w14:textId="77777777" w:rsidR="004B2A05" w:rsidRPr="004125AB" w:rsidRDefault="004B2A05" w:rsidP="005F5C1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326F16E3" w14:textId="7E50DD1D" w:rsidR="0081525C" w:rsidRDefault="004B2A05" w:rsidP="005F5C1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If you are interested in business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related 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assistance, loans, or 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financial coaching, </w:t>
      </w:r>
      <w:r w:rsidR="005F5C1C" w:rsidRP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>please seek</w:t>
      </w:r>
      <w:r w:rsidR="005D35B9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out</w:t>
      </w:r>
      <w:r w:rsidR="005F5C1C" w:rsidRP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the Native CDFI</w:t>
      </w:r>
      <w:r w:rsidR="005D35B9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(Community Development Financial Institution)</w:t>
      </w:r>
      <w:r w:rsidR="00575406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closest to you</w:t>
      </w:r>
      <w:r w:rsidR="006E7A78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.  </w:t>
      </w:r>
      <w:r w:rsidR="006E7A78" w:rsidRPr="006E7A78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Roughly </w:t>
      </w:r>
      <w:r w:rsidR="008B07C7">
        <w:rPr>
          <w:rFonts w:eastAsia="Times New Roman" w:cs="Times New Roman"/>
          <w:color w:val="000000"/>
          <w:szCs w:val="24"/>
          <w:bdr w:val="none" w:sz="0" w:space="0" w:color="auto" w:frame="1"/>
        </w:rPr>
        <w:t>70</w:t>
      </w:r>
      <w:r w:rsidR="006E7A78" w:rsidRPr="006E7A78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of the 9</w:t>
      </w:r>
      <w:r w:rsidR="0092479D">
        <w:rPr>
          <w:rFonts w:eastAsia="Times New Roman" w:cs="Times New Roman"/>
          <w:color w:val="000000"/>
          <w:szCs w:val="24"/>
          <w:bdr w:val="none" w:sz="0" w:space="0" w:color="auto" w:frame="1"/>
        </w:rPr>
        <w:t>00+</w:t>
      </w:r>
      <w:r w:rsidR="005D35B9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="006E7A78" w:rsidRPr="006E7A78">
        <w:rPr>
          <w:rFonts w:eastAsia="Times New Roman" w:cs="Times New Roman"/>
          <w:color w:val="000000"/>
          <w:szCs w:val="24"/>
          <w:bdr w:val="none" w:sz="0" w:space="0" w:color="auto" w:frame="1"/>
        </w:rPr>
        <w:t>CDFIs in the U.S. are categorized as Native CDFIs (NCDFIs), which means they serve primarily</w:t>
      </w:r>
      <w:r w:rsidR="006E7A78" w:rsidRPr="006E7A78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 American Indian, Alaska Native, or Native Hawaiian communities</w:t>
      </w:r>
      <w:r w:rsidR="006E7A78" w:rsidRPr="006E7A78">
        <w:rPr>
          <w:rFonts w:eastAsia="Times New Roman" w:cs="Times New Roman"/>
          <w:color w:val="000000"/>
          <w:szCs w:val="24"/>
          <w:bdr w:val="none" w:sz="0" w:space="0" w:color="auto" w:frame="1"/>
        </w:rPr>
        <w:t>.</w:t>
      </w:r>
      <w:r w:rsidR="006E7A78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 </w:t>
      </w:r>
      <w:r w:rsidR="0092479D">
        <w:rPr>
          <w:rFonts w:eastAsia="Times New Roman" w:cs="Times New Roman"/>
          <w:color w:val="000000"/>
          <w:szCs w:val="24"/>
          <w:bdr w:val="none" w:sz="0" w:space="0" w:color="auto" w:frame="1"/>
        </w:rPr>
        <w:t>Y</w:t>
      </w:r>
      <w:r w:rsidR="006E7A78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ou </w:t>
      </w:r>
      <w:r w:rsidR="0092479D">
        <w:rPr>
          <w:rFonts w:eastAsia="Times New Roman" w:cs="Times New Roman"/>
          <w:color w:val="000000"/>
          <w:szCs w:val="24"/>
          <w:bdr w:val="none" w:sz="0" w:space="0" w:color="auto" w:frame="1"/>
        </w:rPr>
        <w:t>may</w:t>
      </w:r>
      <w:r w:rsidR="005D35B9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also find business </w:t>
      </w:r>
      <w:r w:rsidR="008B07C7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financial </w:t>
      </w:r>
      <w:r w:rsidR="0092479D">
        <w:rPr>
          <w:rFonts w:eastAsia="Times New Roman" w:cs="Times New Roman"/>
          <w:color w:val="000000"/>
          <w:szCs w:val="24"/>
          <w:bdr w:val="none" w:sz="0" w:space="0" w:color="auto" w:frame="1"/>
        </w:rPr>
        <w:t>coaching and d</w:t>
      </w:r>
      <w:r w:rsidR="005D35B9">
        <w:rPr>
          <w:rFonts w:eastAsia="Times New Roman" w:cs="Times New Roman"/>
          <w:color w:val="000000"/>
          <w:szCs w:val="24"/>
          <w:bdr w:val="none" w:sz="0" w:space="0" w:color="auto" w:frame="1"/>
        </w:rPr>
        <w:t>evelopment services through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="0092479D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Native or other </w:t>
      </w:r>
      <w:r w:rsidR="0081525C">
        <w:rPr>
          <w:rFonts w:eastAsia="Times New Roman" w:cs="Times New Roman"/>
          <w:color w:val="000000"/>
          <w:szCs w:val="24"/>
          <w:bdr w:val="none" w:sz="0" w:space="0" w:color="auto" w:frame="1"/>
        </w:rPr>
        <w:t>community development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bank</w:t>
      </w:r>
      <w:r w:rsidR="005D35B9">
        <w:rPr>
          <w:rFonts w:eastAsia="Times New Roman" w:cs="Times New Roman"/>
          <w:color w:val="000000"/>
          <w:szCs w:val="24"/>
          <w:bdr w:val="none" w:sz="0" w:space="0" w:color="auto" w:frame="1"/>
        </w:rPr>
        <w:t>s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or credit union</w:t>
      </w:r>
      <w:r w:rsidR="005D35B9">
        <w:rPr>
          <w:rFonts w:eastAsia="Times New Roman" w:cs="Times New Roman"/>
          <w:color w:val="000000"/>
          <w:szCs w:val="24"/>
          <w:bdr w:val="none" w:sz="0" w:space="0" w:color="auto" w:frame="1"/>
        </w:rPr>
        <w:t>s</w:t>
      </w:r>
      <w:r w:rsidR="006E7A78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, </w:t>
      </w:r>
      <w:r w:rsidR="0092479D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some Native non-profit organizations, </w:t>
      </w:r>
      <w:r w:rsidR="006E7A78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or </w:t>
      </w:r>
      <w:r w:rsidR="0092479D">
        <w:rPr>
          <w:rFonts w:eastAsia="Times New Roman" w:cs="Times New Roman"/>
          <w:color w:val="000000"/>
          <w:szCs w:val="24"/>
          <w:bdr w:val="none" w:sz="0" w:space="0" w:color="auto" w:frame="1"/>
        </w:rPr>
        <w:t>n</w:t>
      </w:r>
      <w:r w:rsidR="006E7A78">
        <w:rPr>
          <w:rFonts w:eastAsia="Times New Roman" w:cs="Times New Roman"/>
          <w:color w:val="000000"/>
          <w:szCs w:val="24"/>
          <w:bdr w:val="none" w:sz="0" w:space="0" w:color="auto" w:frame="1"/>
        </w:rPr>
        <w:t>on-Native CDFI</w:t>
      </w:r>
      <w:r w:rsidR="005D35B9">
        <w:rPr>
          <w:rFonts w:eastAsia="Times New Roman" w:cs="Times New Roman"/>
          <w:color w:val="000000"/>
          <w:szCs w:val="24"/>
          <w:bdr w:val="none" w:sz="0" w:space="0" w:color="auto" w:frame="1"/>
        </w:rPr>
        <w:t>s</w:t>
      </w:r>
      <w:r w:rsidR="005F5C1C" w:rsidRP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>.</w:t>
      </w:r>
      <w:r w:rsidR="006E7A78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</w:t>
      </w:r>
    </w:p>
    <w:p w14:paraId="6ACDDF4C" w14:textId="77777777" w:rsidR="0081525C" w:rsidRPr="004125AB" w:rsidRDefault="0081525C" w:rsidP="005F5C1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76FC68D5" w14:textId="77777777" w:rsidR="005F5C1C" w:rsidRPr="005F5C1C" w:rsidRDefault="0081525C" w:rsidP="005F5C1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2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T</w:t>
      </w:r>
      <w:r w:rsid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>he following</w:t>
      </w:r>
      <w:r w:rsidR="005F5C1C" w:rsidRP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link </w:t>
      </w:r>
      <w:r w:rsid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leads </w:t>
      </w:r>
      <w:r w:rsidR="005F5C1C" w:rsidRP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to </w:t>
      </w:r>
      <w:r w:rsid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an interactive graphic representation of 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names and locations for </w:t>
      </w:r>
      <w:r w:rsid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most of the </w:t>
      </w:r>
      <w:r w:rsidR="005F5C1C" w:rsidRP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>Native CDFIs</w:t>
      </w:r>
      <w:r w:rsid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in the country</w:t>
      </w:r>
      <w:r w:rsidR="005F5C1C" w:rsidRP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>: </w:t>
      </w:r>
      <w:hyperlink r:id="rId7" w:tgtFrame="_blank" w:history="1">
        <w:r w:rsidR="005F5C1C" w:rsidRPr="004B2A05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</w:rPr>
          <w:t>https://nativecdfi.org/members/find-a-native-cdfi/</w:t>
        </w:r>
      </w:hyperlink>
      <w:r w:rsidR="005F5C1C" w:rsidRPr="004B2A05">
        <w:rPr>
          <w:rFonts w:eastAsia="Times New Roman" w:cs="Times New Roman"/>
          <w:color w:val="000000"/>
          <w:szCs w:val="24"/>
          <w:bdr w:val="none" w:sz="0" w:space="0" w:color="auto" w:frame="1"/>
        </w:rPr>
        <w:t>. </w:t>
      </w:r>
    </w:p>
    <w:p w14:paraId="4C4EA7E4" w14:textId="77777777" w:rsidR="005F5C1C" w:rsidRDefault="005F5C1C" w:rsidP="005F5C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Cs w:val="24"/>
          <w:bdr w:val="none" w:sz="0" w:space="0" w:color="auto" w:frame="1"/>
        </w:rPr>
      </w:pPr>
    </w:p>
    <w:p w14:paraId="008BC10E" w14:textId="77777777" w:rsidR="005F5C1C" w:rsidRDefault="004B2A05" w:rsidP="005F5C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Cs w:val="24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Cs w:val="24"/>
          <w:bdr w:val="none" w:sz="0" w:space="0" w:color="auto" w:frame="1"/>
        </w:rPr>
        <w:t xml:space="preserve">Other </w:t>
      </w:r>
      <w:r w:rsidR="0081525C">
        <w:rPr>
          <w:rFonts w:ascii="inherit" w:eastAsia="Times New Roman" w:hAnsi="inherit" w:cs="Calibri"/>
          <w:color w:val="000000"/>
          <w:szCs w:val="24"/>
          <w:bdr w:val="none" w:sz="0" w:space="0" w:color="auto" w:frame="1"/>
        </w:rPr>
        <w:t>Business-</w:t>
      </w:r>
      <w:r w:rsidR="00B460C5">
        <w:rPr>
          <w:rFonts w:ascii="inherit" w:eastAsia="Times New Roman" w:hAnsi="inherit" w:cs="Calibri"/>
          <w:color w:val="000000"/>
          <w:szCs w:val="24"/>
          <w:bdr w:val="none" w:sz="0" w:space="0" w:color="auto" w:frame="1"/>
        </w:rPr>
        <w:t xml:space="preserve">Related </w:t>
      </w:r>
      <w:r>
        <w:rPr>
          <w:rFonts w:ascii="inherit" w:eastAsia="Times New Roman" w:hAnsi="inherit" w:cs="Calibri"/>
          <w:color w:val="000000"/>
          <w:szCs w:val="24"/>
          <w:bdr w:val="none" w:sz="0" w:space="0" w:color="auto" w:frame="1"/>
        </w:rPr>
        <w:t>Resources:</w:t>
      </w:r>
    </w:p>
    <w:p w14:paraId="0C79E6CB" w14:textId="77777777" w:rsidR="00B460C5" w:rsidRPr="005F5C1C" w:rsidRDefault="00B460C5" w:rsidP="005F5C1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2"/>
        </w:rPr>
      </w:pPr>
    </w:p>
    <w:p w14:paraId="3B97AFC5" w14:textId="77777777" w:rsidR="006B6394" w:rsidRDefault="006B6394" w:rsidP="004B2A05">
      <w:pPr>
        <w:pStyle w:val="ListParagraph"/>
        <w:numPr>
          <w:ilvl w:val="0"/>
          <w:numId w:val="1"/>
        </w:numPr>
      </w:pPr>
      <w:r>
        <w:t xml:space="preserve">Go to: </w:t>
      </w:r>
      <w:hyperlink r:id="rId8" w:history="1">
        <w:r>
          <w:rPr>
            <w:rStyle w:val="Hyperlink"/>
          </w:rPr>
          <w:t>NativeCDFIs-List-102021.pdf (nwaf.org)</w:t>
        </w:r>
      </w:hyperlink>
      <w:r>
        <w:t xml:space="preserve">  for a list of twenty Native CDFIs in the upper Midwest funded by the Northwest Area Foundation, with links to each.</w:t>
      </w:r>
    </w:p>
    <w:p w14:paraId="453EFC7C" w14:textId="585A1F8B" w:rsidR="006B6394" w:rsidRDefault="006B6394" w:rsidP="004B2A05">
      <w:pPr>
        <w:pStyle w:val="ListParagraph"/>
        <w:numPr>
          <w:ilvl w:val="0"/>
          <w:numId w:val="1"/>
        </w:numPr>
      </w:pPr>
      <w:r>
        <w:t xml:space="preserve">Go to: </w:t>
      </w:r>
      <w:hyperlink r:id="rId9" w:history="1">
        <w:r>
          <w:rPr>
            <w:rStyle w:val="Hyperlink"/>
          </w:rPr>
          <w:t>3 Native CDFIs to Deliver Influx of Capital &amp; Coaching to Native Small Business Owners - Native Business Magazine</w:t>
        </w:r>
      </w:hyperlink>
      <w:r>
        <w:t xml:space="preserve"> to see information about </w:t>
      </w:r>
      <w:r w:rsidR="004125AB">
        <w:t xml:space="preserve">an initiative for </w:t>
      </w:r>
      <w:r>
        <w:t>small business coaching for Native businesses through a grant from Wells Fargo Foundation.</w:t>
      </w:r>
    </w:p>
    <w:p w14:paraId="1C68F006" w14:textId="71E97241" w:rsidR="004B2A05" w:rsidRDefault="006B6394" w:rsidP="004B2A05">
      <w:pPr>
        <w:pStyle w:val="ListParagraph"/>
        <w:numPr>
          <w:ilvl w:val="0"/>
          <w:numId w:val="1"/>
        </w:numPr>
      </w:pPr>
      <w:r>
        <w:t xml:space="preserve">Go to: </w:t>
      </w:r>
      <w:hyperlink r:id="rId10" w:history="1">
        <w:r>
          <w:rPr>
            <w:rStyle w:val="Hyperlink"/>
          </w:rPr>
          <w:t>Home - Native360</w:t>
        </w:r>
      </w:hyperlink>
      <w:r>
        <w:t xml:space="preserve"> </w:t>
      </w:r>
      <w:r w:rsidR="00605F50">
        <w:t xml:space="preserve">and </w:t>
      </w:r>
      <w:hyperlink r:id="rId11" w:history="1">
        <w:r w:rsidR="00605F50">
          <w:rPr>
            <w:rStyle w:val="Hyperlink"/>
          </w:rPr>
          <w:t>New Site Helps Native360 Provide Training During Covid-19 and Beyond - Native360</w:t>
        </w:r>
      </w:hyperlink>
      <w:r w:rsidR="00605F50">
        <w:t xml:space="preserve"> </w:t>
      </w:r>
      <w:r>
        <w:t xml:space="preserve">to see information about </w:t>
      </w:r>
      <w:r w:rsidR="004B2A05">
        <w:t xml:space="preserve">the </w:t>
      </w:r>
      <w:r w:rsidR="004B2A05" w:rsidRPr="004B2A05">
        <w:t>Native360 Loan Fund</w:t>
      </w:r>
      <w:r w:rsidR="004B2A05">
        <w:t>, which</w:t>
      </w:r>
      <w:r w:rsidR="004B2A05" w:rsidRPr="004B2A05">
        <w:t xml:space="preserve"> is an independent, non-profit 501(c)(3) incorporated under the State of Nebraska and is a Native American Community Development Financial Institution (CDFI).</w:t>
      </w:r>
      <w:r w:rsidR="006E7A78">
        <w:t xml:space="preserve"> </w:t>
      </w:r>
      <w:r w:rsidR="004B2A05" w:rsidRPr="004B2A05">
        <w:t>Native360 Loan Fund</w:t>
      </w:r>
      <w:r w:rsidR="006E7A78">
        <w:t xml:space="preserve"> provides </w:t>
      </w:r>
      <w:r w:rsidR="004B2A05" w:rsidRPr="004B2A05">
        <w:t xml:space="preserve">affordable credit, capital, technical </w:t>
      </w:r>
      <w:proofErr w:type="gramStart"/>
      <w:r w:rsidR="004B2A05" w:rsidRPr="004B2A05">
        <w:t>assistance</w:t>
      </w:r>
      <w:proofErr w:type="gramEnd"/>
      <w:r w:rsidR="004B2A05" w:rsidRPr="004B2A05">
        <w:t xml:space="preserve"> and related programs to help build strong and self-sufficient Native American business owners. </w:t>
      </w:r>
      <w:r w:rsidR="006E7A78">
        <w:t xml:space="preserve">They only serve </w:t>
      </w:r>
      <w:r w:rsidR="004B2A05" w:rsidRPr="006E7A78">
        <w:t xml:space="preserve">members of all tribes in </w:t>
      </w:r>
      <w:r w:rsidR="006E7A78">
        <w:t xml:space="preserve">their </w:t>
      </w:r>
      <w:r w:rsidR="004B2A05" w:rsidRPr="006E7A78">
        <w:t xml:space="preserve">Nebraska, </w:t>
      </w:r>
      <w:proofErr w:type="gramStart"/>
      <w:r w:rsidR="004B2A05" w:rsidRPr="006E7A78">
        <w:t>Iowa</w:t>
      </w:r>
      <w:proofErr w:type="gramEnd"/>
      <w:r w:rsidR="004B2A05" w:rsidRPr="006E7A78">
        <w:t xml:space="preserve"> and southeast South Dakota service area</w:t>
      </w:r>
      <w:r w:rsidR="006E7A78">
        <w:t xml:space="preserve">, but </w:t>
      </w:r>
      <w:r w:rsidR="00AD1DA2">
        <w:t>also</w:t>
      </w:r>
      <w:r w:rsidR="006E7A78">
        <w:t xml:space="preserve"> provide good information about the services a CDFI can provide</w:t>
      </w:r>
      <w:r w:rsidR="004B2A05" w:rsidRPr="006E7A78">
        <w:t>.</w:t>
      </w:r>
    </w:p>
    <w:p w14:paraId="00CCDAE5" w14:textId="539EBAC9" w:rsidR="006E7A78" w:rsidRDefault="006E7A78" w:rsidP="006E7A78">
      <w:pPr>
        <w:pStyle w:val="ListParagraph"/>
        <w:numPr>
          <w:ilvl w:val="0"/>
          <w:numId w:val="1"/>
        </w:numPr>
      </w:pPr>
      <w:r>
        <w:t xml:space="preserve">All CDFIs </w:t>
      </w:r>
      <w:r w:rsidR="00BC11DE">
        <w:t xml:space="preserve">in Texas </w:t>
      </w:r>
      <w:r>
        <w:t>(</w:t>
      </w:r>
      <w:r w:rsidR="00AD1DA2">
        <w:t>no CDFIs</w:t>
      </w:r>
      <w:r w:rsidR="00BC11DE">
        <w:t xml:space="preserve"> are </w:t>
      </w:r>
      <w:r>
        <w:t>Native-</w:t>
      </w:r>
      <w:r w:rsidR="00514DFE">
        <w:t>focused in Texas</w:t>
      </w:r>
      <w:r w:rsidR="00BC11DE">
        <w:t>)</w:t>
      </w:r>
      <w:r>
        <w:t xml:space="preserve">: </w:t>
      </w:r>
      <w:hyperlink r:id="rId12" w:anchor=":~:text=CDFIs%20include%20community%20development%20banks%20and%20credit%20unions%2C,Union%2C%20Del%20Rio%20Brazos%20Valley%20CDC%2C%20Inc.%2C%20Bryan" w:history="1">
        <w:r>
          <w:rPr>
            <w:rStyle w:val="Hyperlink"/>
          </w:rPr>
          <w:t>Texas2.pdf (cdfi.org)</w:t>
        </w:r>
      </w:hyperlink>
    </w:p>
    <w:p w14:paraId="4DF625F5" w14:textId="7A208C2F" w:rsidR="006B6394" w:rsidRDefault="0035334A">
      <w:r>
        <w:t>The</w:t>
      </w:r>
      <w:r w:rsidR="00514DFE">
        <w:t>re</w:t>
      </w:r>
      <w:r>
        <w:t xml:space="preserve"> are </w:t>
      </w:r>
      <w:r w:rsidR="001E3050">
        <w:t>n</w:t>
      </w:r>
      <w:r>
        <w:t xml:space="preserve">o Native CDFIs in several </w:t>
      </w:r>
      <w:r w:rsidR="00BC11DE">
        <w:t>states</w:t>
      </w:r>
      <w:r>
        <w:t xml:space="preserve">.  </w:t>
      </w:r>
      <w:proofErr w:type="gramStart"/>
      <w:r>
        <w:t>However</w:t>
      </w:r>
      <w:proofErr w:type="gramEnd"/>
      <w:r>
        <w:t xml:space="preserve"> you might </w:t>
      </w:r>
      <w:r w:rsidR="00863F3D">
        <w:t xml:space="preserve">also </w:t>
      </w:r>
      <w:r>
        <w:t xml:space="preserve">contact </w:t>
      </w:r>
      <w:r w:rsidR="00E81942">
        <w:t>a</w:t>
      </w:r>
      <w:r>
        <w:t xml:space="preserve"> Native CDFI i</w:t>
      </w:r>
      <w:r w:rsidR="00E81942">
        <w:t xml:space="preserve">n a nearby state.  An example </w:t>
      </w:r>
      <w:r w:rsidR="00BC11DE">
        <w:t>would be</w:t>
      </w:r>
      <w:r w:rsidR="00E81942">
        <w:t>: Citizen Potawatomi Community Development Corporation, Shawnee, Oklahoma</w:t>
      </w:r>
      <w:r w:rsidR="00BC11DE">
        <w:t>,</w:t>
      </w:r>
      <w:r w:rsidR="00E81942">
        <w:t xml:space="preserve"> which offers business services: </w:t>
      </w:r>
      <w:hyperlink r:id="rId13" w:anchor="business-training" w:history="1">
        <w:r w:rsidR="00E81942">
          <w:rPr>
            <w:rStyle w:val="Hyperlink"/>
          </w:rPr>
          <w:t>Services - Citizen Potawatomi Community Development Corporation (cpcdc.org)</w:t>
        </w:r>
      </w:hyperlink>
      <w:r w:rsidR="00863F3D">
        <w:rPr>
          <w:rStyle w:val="Hyperlink"/>
        </w:rPr>
        <w:t>:</w:t>
      </w:r>
      <w:r w:rsidR="00E81942">
        <w:t xml:space="preserve">  </w:t>
      </w:r>
      <w:r w:rsidR="00BC11DE">
        <w:t>“</w:t>
      </w:r>
      <w:r w:rsidR="00E81942" w:rsidRPr="00E81942">
        <w:t>The </w:t>
      </w:r>
      <w:r w:rsidR="00E81942" w:rsidRPr="00E81942">
        <w:rPr>
          <w:b/>
          <w:bCs/>
        </w:rPr>
        <w:t>mission</w:t>
      </w:r>
      <w:r w:rsidR="00E81942" w:rsidRPr="00E81942">
        <w:t> of the Citizen Potawatomi Community Development Corporation</w:t>
      </w:r>
      <w:r w:rsidR="00E81942">
        <w:t xml:space="preserve"> is</w:t>
      </w:r>
      <w:r w:rsidR="00E81942" w:rsidRPr="00E81942">
        <w:t xml:space="preserve"> to finance, promote, educate, and inspire the entrepreneurial growth, economic opportunity, and financial well-being of the Citizen Potawatomi Nation Tribal Community and other under-served Native populations through Financial Education, Access to Capital, Business Development Services, Innovative Capacity Building Practices, and Community Development Initiatives.</w:t>
      </w:r>
      <w:r w:rsidR="00BC11DE">
        <w:t>”</w:t>
      </w:r>
    </w:p>
    <w:sectPr w:rsidR="006B6394" w:rsidSect="005F5C1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363E" w14:textId="77777777" w:rsidR="001D70D5" w:rsidRDefault="001D70D5" w:rsidP="001D70D5">
      <w:pPr>
        <w:spacing w:after="0" w:line="240" w:lineRule="auto"/>
      </w:pPr>
      <w:r>
        <w:separator/>
      </w:r>
    </w:p>
  </w:endnote>
  <w:endnote w:type="continuationSeparator" w:id="0">
    <w:p w14:paraId="3825746B" w14:textId="77777777" w:rsidR="001D70D5" w:rsidRDefault="001D70D5" w:rsidP="001D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0CA1" w14:textId="77777777" w:rsidR="001D70D5" w:rsidRDefault="001D70D5" w:rsidP="001D70D5">
      <w:pPr>
        <w:spacing w:after="0" w:line="240" w:lineRule="auto"/>
      </w:pPr>
      <w:r>
        <w:separator/>
      </w:r>
    </w:p>
  </w:footnote>
  <w:footnote w:type="continuationSeparator" w:id="0">
    <w:p w14:paraId="6BE0D402" w14:textId="77777777" w:rsidR="001D70D5" w:rsidRDefault="001D70D5" w:rsidP="001D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3849" w14:textId="77777777" w:rsidR="001D70D5" w:rsidRDefault="001D70D5">
    <w:pPr>
      <w:pStyle w:val="Header"/>
    </w:pPr>
    <w:r>
      <w:ptab w:relativeTo="margin" w:alignment="center" w:leader="none"/>
    </w:r>
    <w:r>
      <w:ptab w:relativeTo="margin" w:alignment="right" w:leader="none"/>
    </w:r>
    <w:r>
      <w:t>ONAC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1E13"/>
    <w:multiLevelType w:val="hybridMultilevel"/>
    <w:tmpl w:val="131A4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57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C1C"/>
    <w:rsid w:val="00020177"/>
    <w:rsid w:val="001111CB"/>
    <w:rsid w:val="001D70D5"/>
    <w:rsid w:val="001E3050"/>
    <w:rsid w:val="00235A06"/>
    <w:rsid w:val="0035334A"/>
    <w:rsid w:val="004125AB"/>
    <w:rsid w:val="004B2A05"/>
    <w:rsid w:val="00514DFE"/>
    <w:rsid w:val="00575406"/>
    <w:rsid w:val="005D35B9"/>
    <w:rsid w:val="005F5C1C"/>
    <w:rsid w:val="00605F50"/>
    <w:rsid w:val="00633E5C"/>
    <w:rsid w:val="006B6394"/>
    <w:rsid w:val="006C4694"/>
    <w:rsid w:val="006E7A78"/>
    <w:rsid w:val="0081525C"/>
    <w:rsid w:val="00863F3D"/>
    <w:rsid w:val="008B07C7"/>
    <w:rsid w:val="0092479D"/>
    <w:rsid w:val="00AD1DA2"/>
    <w:rsid w:val="00AD5940"/>
    <w:rsid w:val="00B460C5"/>
    <w:rsid w:val="00BC11DE"/>
    <w:rsid w:val="00DE1BFD"/>
    <w:rsid w:val="00E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73E0"/>
  <w15:docId w15:val="{C9481FCB-C171-4275-AA75-34CA85D5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3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2A05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4B2A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7A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D35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D5"/>
  </w:style>
  <w:style w:type="paragraph" w:styleId="Footer">
    <w:name w:val="footer"/>
    <w:basedOn w:val="Normal"/>
    <w:link w:val="FooterChar"/>
    <w:uiPriority w:val="99"/>
    <w:unhideWhenUsed/>
    <w:rsid w:val="001D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D5"/>
  </w:style>
  <w:style w:type="paragraph" w:styleId="BalloonText">
    <w:name w:val="Balloon Text"/>
    <w:basedOn w:val="Normal"/>
    <w:link w:val="BalloonTextChar"/>
    <w:uiPriority w:val="99"/>
    <w:semiHidden/>
    <w:unhideWhenUsed/>
    <w:rsid w:val="001D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2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1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142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37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af.org/wp-content/uploads/2021/10/NativeCDFIs-List-102021.pdf" TargetMode="External"/><Relationship Id="rId13" Type="http://schemas.openxmlformats.org/officeDocument/2006/relationships/hyperlink" Target="https://cpcdc.org/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ivecdfi.org/members/find-a-native-cdfi/" TargetMode="External"/><Relationship Id="rId12" Type="http://schemas.openxmlformats.org/officeDocument/2006/relationships/hyperlink" Target="https://www.cdfi.org/wp-content/uploads/2013/02/Texas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tive360.org/initiate_coaching_sit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ative360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vebusinessmag.com/3-native-cdfis-to-deliver-influx-of-capital-coaching-to-native-small-business-owner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Edwards</cp:lastModifiedBy>
  <cp:revision>2</cp:revision>
  <dcterms:created xsi:type="dcterms:W3CDTF">2022-09-07T19:36:00Z</dcterms:created>
  <dcterms:modified xsi:type="dcterms:W3CDTF">2022-09-07T19:36:00Z</dcterms:modified>
</cp:coreProperties>
</file>